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3496945</wp:posOffset>
                </wp:positionH>
                <wp:positionV relativeFrom="page">
                  <wp:posOffset>605155</wp:posOffset>
                </wp:positionV>
                <wp:extent cx="716280" cy="84518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628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75.35pt;mso-position-horizontal:absolute;mso-position-vertical-relative:page;margin-top:47.65pt;mso-position-vertical:absolute;width:56.40pt;height:66.5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t xml:space="preserve">П</w:t>
      </w:r>
      <w:r>
        <w:t xml:space="preserve">роект</w:t>
      </w:r>
      <w:r/>
    </w:p>
    <w:p>
      <w:pPr>
        <w:pStyle w:val="9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1673225</wp:posOffset>
                </wp:positionV>
                <wp:extent cx="7565390" cy="13233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8" cy="1323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ЕВРЕЙСКОЙ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АВТОНОМНОЙ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ОБЛАСТИ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908"/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908"/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908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Cs w:val="28"/>
                              </w:rPr>
                            </w: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9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90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</w:pPr>
                            <w:r/>
                            <w:r/>
                          </w:p>
                          <w:p>
                            <w:pPr>
                              <w:pStyle w:val="90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page;margin-left:0.30pt;mso-position-horizontal:absolute;mso-position-vertical-relative:page;margin-top:131.75pt;mso-position-vertical:absolute;width:595.70pt;height:104.20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908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ЕВРЕЙСКОЙ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АВТОНОМНОЙ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ОБЛАСТИ</w:t>
                      </w: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908"/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908"/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 xml:space="preserve">ПОСТАНОВЛЕНИЕ</w:t>
                      </w: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</w: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908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b/>
                          <w:szCs w:val="28"/>
                        </w:rPr>
                      </w:r>
                      <w:r>
                        <w:rPr>
                          <w:b/>
                          <w:szCs w:val="28"/>
                        </w:rPr>
                      </w:r>
                    </w:p>
                    <w:p>
                      <w:pPr>
                        <w:pStyle w:val="908"/>
                        <w:spacing w:before="20"/>
                        <w:tabs>
                          <w:tab w:val="left" w:pos="13467" w:leader="none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sz w:val="24"/>
                        </w:rPr>
                        <w:t xml:space="preserve">№ </w:t>
                      </w:r>
                      <w:r>
                        <w:rPr>
                          <w:sz w:val="20"/>
                          <w:szCs w:val="20"/>
                        </w:rPr>
                        <w:t xml:space="preserve">_____</w:t>
                      </w:r>
                      <w:r>
                        <w:rPr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9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908"/>
                        <w:rPr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    ¬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08"/>
                      </w:pPr>
                      <w:r/>
                      <w:r/>
                    </w:p>
                    <w:p>
                      <w:pPr>
                        <w:pStyle w:val="90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Об утверждении Порядка </w:t>
      </w:r>
      <w:r>
        <w:t xml:space="preserve">обеспечения лекарственными препаратами лиц, перенесших острое нарушение мозгового кровообращения, </w:t>
      </w:r>
      <w:r>
        <w:t xml:space="preserve">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 территории Еврейской автономной области </w:t>
      </w:r>
      <w:r/>
      <w:r/>
    </w:p>
    <w:p>
      <w:r/>
      <w:r/>
    </w:p>
    <w:p>
      <w:r/>
      <w:r/>
    </w:p>
    <w:p>
      <w:pPr>
        <w:pStyle w:val="908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26.12.2017 № 1640 «Об утверждении государственной программы Рос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сийской Федерации «Развитие здравоохранения»,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приказа Министерства здравоохранения Российской Федерации от 24.11.2021 № 1094н                                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анения, форм бланков рецептов, содержащих назначение наркотических средств, психотропных веществ, порядка их изготовления и распределения, регистрации учета и хранения, а также правил оформления бланков рецептов, в том числе в форме электронных документов»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eastAsia="Calibri"/>
        </w:rPr>
        <w:t xml:space="preserve">приказом Министерства здравоохранения Российской Федерации от 29.09.2022 № 639н «Об утверждении перечня </w:t>
      </w:r>
      <w:r>
        <w:rPr>
          <w:rFonts w:eastAsia="Calibri"/>
        </w:rPr>
        <w:t xml:space="preserve">лекарственных препаратов для медицинского применения в целях обеспечения в амбулаторных у</w:t>
      </w:r>
      <w:r>
        <w:rPr>
          <w:rFonts w:eastAsia="Calibri"/>
        </w:rPr>
        <w:t xml:space="preserve">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>
        <w:rPr>
          <w:rFonts w:eastAsia="Calibri"/>
        </w:rPr>
        <w:t xml:space="preserve"> в течение 2 лет с даты постановки диагноза и (или) выполнения хирургического вмешательства</w:t>
      </w:r>
      <w:r>
        <w:rPr>
          <w:rFonts w:eastAsia="Calibri"/>
        </w:rPr>
        <w:t xml:space="preserve">»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целях реализации соглашения между Министерством здравоохранения Российской Федерации и Правительством Еврейской автономной области от 25.12.2019                                         № 056-09-2020-281 о предоставлении субсидии из федерального бюдж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ета бюджету субъекта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под диспансерным наблюдением, правительство Еврейской автономной области</w:t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908"/>
        <w:jc w:val="both"/>
        <w:spacing w:before="0" w:beforeAutospacing="0" w:line="283" w:lineRule="atLeast"/>
        <w:rPr>
          <w:szCs w:val="28"/>
        </w:rPr>
      </w:pPr>
      <w:r>
        <w:rPr>
          <w:szCs w:val="28"/>
        </w:rPr>
        <w:t xml:space="preserve">ПОСТАНОВЛЯЕТ: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Порядок обеспечения лекарственными препаратами лиц, перенесших острое нарушение мозгово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 территории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Настоящее постановление вступает в силу через 10 дней после дня его официального опубликования.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Губернатор                                                                                      Р.Э. Гольдштейн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ectPr>
          <w:headerReference w:type="default" r:id="rId9"/>
          <w:footnotePr/>
          <w:endnotePr/>
          <w:type w:val="nextPage"/>
          <w:pgSz w:w="11906" w:h="16838" w:orient="portrait"/>
          <w:pgMar w:top="1134" w:right="707" w:bottom="822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left="0" w:right="0" w:firstLine="5669"/>
        <w:jc w:val="left"/>
        <w:rPr>
          <w:highlight w:val="none"/>
          <w:lang w:val="ru-RU"/>
        </w:rPr>
      </w:pPr>
      <w:r>
        <w:rPr>
          <w:highlight w:val="none"/>
          <w:lang w:val="ru-RU"/>
        </w:rPr>
        <w:t xml:space="preserve">УТВЕРЖДЕН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left="0" w:right="0" w:firstLine="5669"/>
        <w:jc w:val="left"/>
        <w:rPr>
          <w:highlight w:val="none"/>
          <w:lang w:val="ru-RU"/>
        </w:rPr>
      </w:pPr>
      <w:r>
        <w:rPr>
          <w:highlight w:val="none"/>
          <w:lang w:val="ru-RU"/>
        </w:rPr>
        <w:t xml:space="preserve">постановлением правительства 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left="0" w:right="0" w:firstLine="5669"/>
        <w:jc w:val="left"/>
        <w:rPr>
          <w:highlight w:val="none"/>
          <w:lang w:val="ru-RU"/>
        </w:rPr>
      </w:pPr>
      <w:r>
        <w:rPr>
          <w:highlight w:val="none"/>
          <w:lang w:val="ru-RU"/>
        </w:rPr>
        <w:t xml:space="preserve">Еврейской автономной области 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left="0" w:right="0" w:firstLine="5669"/>
        <w:jc w:val="left"/>
        <w:rPr>
          <w:highlight w:val="none"/>
        </w:rPr>
      </w:pPr>
      <w:r>
        <w:rPr>
          <w:highlight w:val="none"/>
          <w:lang w:val="ru-RU"/>
        </w:rPr>
        <w:t xml:space="preserve">от  ____________ № ________</w:t>
      </w:r>
      <w:r>
        <w:rPr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Порядок 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highlight w:val="none"/>
        </w:rPr>
      </w:r>
    </w:p>
    <w:p>
      <w:pPr>
        <w:ind w:left="0" w:right="0" w:firstLine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обеспечения лекарственными препаратами лиц, перенесших острое нарушение мозгово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 территории Еврейской автономной области</w:t>
      </w:r>
      <w:r>
        <w:rPr>
          <w:highlight w:val="none"/>
        </w:rPr>
      </w:r>
      <w:r/>
    </w:p>
    <w:p>
      <w:pPr>
        <w:ind w:left="0" w:right="0" w:firstLine="709"/>
        <w:jc w:val="center"/>
        <w:rPr>
          <w:highlight w:val="none"/>
          <w:vertAlign w:val="baseline"/>
          <w:lang w:val="ru-RU"/>
        </w:rPr>
      </w:pP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  <w:lang w:val="ru-RU"/>
        </w:rPr>
      </w:r>
    </w:p>
    <w:p>
      <w:pPr>
        <w:ind w:left="0" w:right="0" w:firstLine="709"/>
        <w:jc w:val="center"/>
        <w:rPr>
          <w:highlight w:val="none"/>
          <w:vertAlign w:val="baseline"/>
          <w:lang w:val="ru-RU"/>
        </w:rPr>
      </w:pP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  <w:lang w:val="en-US"/>
        </w:rPr>
        <w:t xml:space="preserve">I</w:t>
      </w:r>
      <w:r>
        <w:rPr>
          <w:highlight w:val="none"/>
          <w:vertAlign w:val="baseline"/>
          <w:lang w:val="ru-RU"/>
        </w:rPr>
        <w:t xml:space="preserve">. Общие положения</w:t>
      </w:r>
      <w:r>
        <w:rPr>
          <w:highlight w:val="none"/>
          <w:vertAlign w:val="baseline"/>
          <w:lang w:val="ru-RU"/>
        </w:rPr>
      </w:r>
    </w:p>
    <w:p>
      <w:pPr>
        <w:ind w:left="0" w:right="0" w:firstLine="709"/>
        <w:jc w:val="both"/>
        <w:rPr>
          <w:highlight w:val="none"/>
          <w:vertAlign w:val="baseline"/>
          <w:lang w:val="ru-RU"/>
        </w:rPr>
      </w:pPr>
      <w:r>
        <w:rPr>
          <w:highlight w:val="none"/>
          <w:vertAlign w:val="baseline"/>
          <w:lang w:val="ru-RU"/>
        </w:rPr>
        <w:t xml:space="preserve">1.1 Настоящий Порядок </w:t>
      </w:r>
      <w:r>
        <w:rPr>
          <w:highlight w:val="none"/>
          <w:lang w:val="ru-RU"/>
        </w:rPr>
      </w:r>
      <w:r>
        <w:rPr>
          <w:highlight w:val="none"/>
          <w:vertAlign w:val="baseli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обеспечения лекарственными препаратами лиц, перенесших острое нарушение мозгово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 территории Еврейской автономной области</w:t>
      </w:r>
      <w:r>
        <w:rPr>
          <w:highlight w:val="none"/>
          <w:vertAlign w:val="baseline"/>
          <w:lang w:val="ru-RU"/>
        </w:rPr>
        <w:t xml:space="preserve"> (далее – Порядок) определяет механизм организации обеспечения </w:t>
      </w:r>
      <w:r>
        <w:rPr>
          <w:highlight w:val="none"/>
          <w:lang w:val="ru-RU"/>
        </w:rPr>
        <w:t xml:space="preserve">лекарственными препаратами, </w:t>
      </w:r>
      <w:r>
        <w:rPr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лиц, перенесших острое нарушение мозгово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</w:t>
      </w:r>
      <w:r/>
      <w:r>
        <w:rPr>
          <w:highlight w:val="none"/>
          <w:lang w:val="ru-RU"/>
        </w:rPr>
        <w:t xml:space="preserve"> на территории Еврейской автономной области</w:t>
      </w:r>
      <w:r>
        <w:rPr>
          <w:highlight w:val="none"/>
          <w:vertAlign w:val="baseline"/>
          <w:lang w:val="ru-RU"/>
        </w:rPr>
        <w:t xml:space="preserve">.</w:t>
      </w: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  <w:lang w:val="ru-RU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1.2.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Право на бесплатное обеспечение лекарственными препаратами имеют граждане, постоянно проживающие на территории Еврейской автономной области,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перенесших острое нарушение мозгово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состоящие на диспансерном наблюдении в учреждениях здравоохранения Еврейской автономной области, подведомственных департаменту здравоохранения правительства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  <w:vertAlign w:val="baseline"/>
          <w:lang w:val="ru-RU"/>
        </w:rPr>
      </w:pPr>
      <w:r>
        <w:rPr>
          <w:highlight w:val="none"/>
          <w:lang w:val="ru-RU"/>
        </w:rPr>
        <w:t xml:space="preserve">1.3. </w:t>
      </w:r>
      <w:r>
        <w:rPr>
          <w:rFonts w:eastAsia="Calibri"/>
        </w:rPr>
        <w:t xml:space="preserve">Обеспечение лекарственными препаратами в амбулаторных условиях осуществляется согласно Перечню </w:t>
      </w:r>
      <w:r>
        <w:rPr>
          <w:rFonts w:eastAsia="Calibri"/>
        </w:rPr>
        <w:t xml:space="preserve">лекарственных препаратов для медицинского применения в целях обеспечения в амбулаторных у</w:t>
      </w:r>
      <w:r>
        <w:rPr>
          <w:rFonts w:eastAsia="Calibri"/>
        </w:rPr>
        <w:t xml:space="preserve">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/>
      <w:r>
        <w:rPr>
          <w:rFonts w:eastAsia="Calibri"/>
        </w:rPr>
        <w:t xml:space="preserve"> </w:t>
      </w:r>
      <w:r>
        <w:rPr>
          <w:rFonts w:eastAsia="Calibri"/>
        </w:rPr>
        <w:t xml:space="preserve">в течение 2 лет с даты постановки диагноза и (или) выполнения хирургического вмешательства</w:t>
      </w:r>
      <w:r/>
      <w:r>
        <w:rPr>
          <w:rFonts w:eastAsia="Calibri"/>
        </w:rPr>
      </w:r>
      <w:r>
        <w:rPr>
          <w:rFonts w:eastAsia="Calibri"/>
        </w:rPr>
        <w:t xml:space="preserve">, утвержденному приказом Министерства здравоохранения Российской Федерации от 29.09.2022 № 639н «Об утверждении перечня </w:t>
      </w:r>
      <w:r>
        <w:rPr>
          <w:rFonts w:eastAsia="Calibri"/>
        </w:rPr>
        <w:t xml:space="preserve">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>
        <w:rPr>
          <w:rFonts w:eastAsia="Calibri"/>
        </w:rPr>
        <w:t xml:space="preserve"> в течение 2 лет с даты постановки диагноза и (или) выполнения хирургического вмешательства</w:t>
      </w:r>
      <w:r>
        <w:rPr>
          <w:rFonts w:eastAsia="Calibri"/>
        </w:rPr>
        <w:t xml:space="preserve">».</w:t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highlight w:val="none"/>
          <w:vertAlign w:val="baseline"/>
          <w:lang w:val="ru-RU"/>
        </w:rPr>
      </w:r>
      <w:r>
        <w:rPr>
          <w:rFonts w:eastAsia="Calibri"/>
        </w:rPr>
        <w:t xml:space="preserve">1.4. </w:t>
      </w:r>
      <w:r>
        <w:rPr>
          <w:rFonts w:eastAsia="Calibri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Бесплатное обеспечение в амбулаторных условиях лекарственными препаратами граждан осуществляется до получения ими права на льготное лекарственное обеспечение в виде обеспечения лекарственными препаратами для медицинского применения в соответствии с Федеральным 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17.07.1999 № 178-ФЗ «О государственной социальной помощи», на срок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течение 2 лет со дня постановки диагноза и (или) выполнения хирургического вмешательства.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Порядок бесплатного обеспечения лекарственными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препаратами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Организация бесплатного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обеспечения лекарственными препаратами граждан возлагается на департамент здравоохранения правительства Еврейской автономной области (далее - департамент) и на областные учреждения здравоохранения, подведомственные департаменту.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граждан лекарственными препаратами осуществляется учреждениями здравоохранения, подведомственными департаменту, на основании назначения лечащего врача и заключения врачебной комиссии в соответствии с требованиями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приказа 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средств, психотропных веществ, порядка их изготовления и распределения, регистрации учета и хранения, а также правил оформления бланков рецептов, в том числе в форме электронных документов».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2.3. Отпуск лекарственных препаратов по выписанным рецептам осуществляется аптечными организациями </w:t>
      </w:r>
      <w:r>
        <w:rPr>
          <w:highlight w:val="none"/>
          <w:lang w:val="ru-RU"/>
        </w:rPr>
        <w:t xml:space="preserve">государственного предприятия области «Фармация»</w:t>
      </w:r>
      <w:r>
        <w:rPr>
          <w:highlight w:val="none"/>
          <w:lang w:val="ru-RU"/>
        </w:rPr>
        <w:t xml:space="preserve"> в соответствии с приказом Министерства здравоохранения Российской Федерации от 24.11.2021 № 1093н                                  «Об утверждении правил отпуска </w:t>
      </w:r>
      <w:r>
        <w:rPr>
          <w:highlight w:val="none"/>
          <w:lang w:val="ru-RU"/>
        </w:rPr>
        <w:t xml:space="preserve">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</w:t>
      </w:r>
      <w:r>
        <w:rPr>
          <w:highlight w:val="none"/>
          <w:lang w:val="ru-RU"/>
        </w:rPr>
        <w:t xml:space="preserve">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</w:t>
      </w:r>
      <w:r>
        <w:rPr>
          <w:highlight w:val="none"/>
          <w:lang w:val="ru-RU"/>
        </w:rPr>
        <w:t xml:space="preserve">ганизации,</w:t>
      </w:r>
      <w:r>
        <w:rPr>
          <w:highlight w:val="none"/>
          <w:lang w:val="ru-RU"/>
        </w:rPr>
        <w:t xml:space="preserve"> а также </w:t>
      </w:r>
      <w:r>
        <w:rPr>
          <w:highlight w:val="none"/>
          <w:lang w:val="ru-RU"/>
        </w:rPr>
        <w:t xml:space="preserve">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</w:r>
      <w:r>
        <w:rPr>
          <w:highlight w:val="none"/>
          <w:lang w:val="ru-RU"/>
        </w:rPr>
        <w:t xml:space="preserve">».</w:t>
      </w:r>
      <w:r>
        <w:rPr>
          <w:rFonts w:eastAsia="Calibri"/>
        </w:rPr>
      </w:r>
    </w:p>
    <w:p>
      <w:pPr>
        <w:ind w:left="0" w:right="0" w:firstLine="709"/>
        <w:jc w:val="both"/>
        <w:rPr>
          <w:highlight w:val="none"/>
          <w:vertAlign w:val="baseline"/>
          <w:lang w:val="ru-RU"/>
        </w:rPr>
      </w:pPr>
      <w:r>
        <w:rPr>
          <w:highlight w:val="none"/>
          <w:lang w:val="ru-RU"/>
        </w:rPr>
        <w:t xml:space="preserve">2.4. </w:t>
      </w:r>
      <w:r>
        <w:rPr>
          <w:highlight w:val="none"/>
          <w:lang w:val="ru-RU"/>
        </w:rPr>
      </w:r>
      <w:r>
        <w:rPr>
          <w:highlight w:val="none"/>
          <w:vertAlign w:val="baseline"/>
          <w:lang w:val="ru-RU"/>
        </w:rPr>
        <w:t xml:space="preserve">Заявки на обеспечение лекарственными препаратами в амбулаторных условиях </w:t>
      </w:r>
      <w:r>
        <w:rPr>
          <w:rFonts w:eastAsia="Calibri"/>
        </w:rPr>
        <w:t xml:space="preserve">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>
        <w:rPr>
          <w:highlight w:val="none"/>
          <w:vertAlign w:val="baseline"/>
          <w:lang w:val="ru-RU"/>
        </w:rPr>
        <w:t xml:space="preserve"> </w:t>
      </w:r>
      <w:r>
        <w:rPr>
          <w:highlight w:val="none"/>
          <w:vertAlign w:val="baseline"/>
          <w:lang w:val="ru-RU"/>
        </w:rPr>
        <w:t xml:space="preserve"> учреждениями здравоохранения области, подведомственными департаменту и в срок до 01 октября направляются в адрес департамента здравоохранения для формирования сводной потребности на очередной финансовый год. </w:t>
      </w: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  <w:lang w:val="ru-RU"/>
        </w:rPr>
      </w:r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  <w:t xml:space="preserve">2.5.</w:t>
      </w:r>
      <w:r>
        <w:rPr>
          <w:highlight w:val="none"/>
          <w:lang w:val="ru-RU"/>
        </w:rPr>
        <w:t xml:space="preserve"> </w:t>
      </w:r>
      <w:r>
        <w:rPr>
          <w:highlight w:val="none"/>
          <w:vertAlign w:val="baseline"/>
          <w:lang w:val="ru-RU"/>
        </w:rPr>
        <w:t xml:space="preserve">Формулярная комиссия департамента здравоохранения правительства Еврейской автономной области в срок до 01 ноября очередного финансового года рассматривает и утверждает сводные заявки на льготное обеспечение в</w:t>
      </w:r>
      <w:r>
        <w:rPr>
          <w:highlight w:val="none"/>
          <w:vertAlign w:val="baseline"/>
          <w:lang w:val="ru-RU"/>
        </w:rPr>
        <w:t xml:space="preserve"> амбулаторных условиях </w:t>
      </w:r>
      <w:r>
        <w:rPr>
          <w:rFonts w:eastAsia="Calibri"/>
        </w:rPr>
        <w:t xml:space="preserve">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>
        <w:rPr>
          <w:highlight w:val="none"/>
          <w:lang w:val="ru-RU"/>
        </w:rPr>
        <w:t xml:space="preserve">.</w:t>
      </w:r>
      <w:r>
        <w:rPr>
          <w:highlight w:val="none"/>
          <w:lang w:val="ru-RU"/>
        </w:rPr>
      </w:r>
    </w:p>
    <w:p>
      <w:pPr>
        <w:ind w:left="0" w:right="0" w:firstLine="709"/>
        <w:jc w:val="both"/>
        <w:rPr>
          <w:highlight w:val="none"/>
          <w:vertAlign w:val="baseli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  <w:t xml:space="preserve">2.6. </w:t>
      </w:r>
      <w:r>
        <w:rPr>
          <w:rFonts w:eastAsia="Calibri"/>
        </w:rPr>
      </w:r>
      <w:r>
        <w:rPr>
          <w:highlight w:val="none"/>
          <w:vertAlign w:val="baseline"/>
          <w:lang w:val="ru-RU"/>
        </w:rPr>
        <w:t xml:space="preserve">Департамент здравоохранения правительства области организует проведение закупочных процедур на </w:t>
      </w:r>
      <w:r>
        <w:rPr>
          <w:highlight w:val="none"/>
          <w:lang w:val="ru-RU"/>
        </w:rPr>
        <w:t xml:space="preserve">лекар</w:t>
      </w:r>
      <w:r>
        <w:rPr>
          <w:highlight w:val="none"/>
          <w:lang w:val="ru-RU"/>
        </w:rPr>
        <w:t xml:space="preserve">ственные препараты</w:t>
      </w:r>
      <w:r>
        <w:rPr>
          <w:highlight w:val="none"/>
          <w:vertAlign w:val="baseline"/>
          <w:lang w:val="ru-RU"/>
        </w:rPr>
        <w:t xml:space="preserve"> для реализации полномочий по организации льготного лекарственного </w:t>
      </w:r>
      <w:r>
        <w:rPr>
          <w:highlight w:val="none"/>
          <w:vertAlign w:val="baseline"/>
          <w:lang w:val="ru-RU"/>
        </w:rPr>
        <w:t xml:space="preserve">обеспечения в</w:t>
      </w:r>
      <w:r>
        <w:rPr>
          <w:highlight w:val="none"/>
          <w:vertAlign w:val="baseline"/>
          <w:lang w:val="ru-RU"/>
        </w:rPr>
        <w:t xml:space="preserve"> амбулаторных условиях </w:t>
      </w:r>
      <w:r>
        <w:rPr>
          <w:rFonts w:eastAsia="Calibri"/>
        </w:rPr>
        <w:t xml:space="preserve">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</w:t>
      </w:r>
      <w:r>
        <w:rPr>
          <w:rFonts w:eastAsia="Calibri"/>
        </w:rPr>
        <w:t xml:space="preserve">ляция по поводу сердечно-сосудистых заболеваний</w:t>
      </w:r>
      <w:r>
        <w:rPr>
          <w:highlight w:val="none"/>
          <w:lang w:val="ru-RU"/>
        </w:rPr>
        <w:t xml:space="preserve">.</w:t>
      </w:r>
      <w:r/>
      <w:r>
        <w:rPr>
          <w:highlight w:val="none"/>
          <w:vertAlign w:val="baseline"/>
          <w:lang w:val="ru-RU"/>
        </w:rPr>
        <w:t xml:space="preserve"> льготного лекарственное обеспечение отдельных категорий граждан.</w:t>
      </w: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  <w:lang w:val="ru-RU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  <w:t xml:space="preserve">3.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после дня его </w:t>
      </w:r>
      <w:r>
        <w:rPr>
          <w:szCs w:val="28"/>
        </w:rPr>
        <w:t xml:space="preserve">официального </w:t>
      </w:r>
      <w:r>
        <w:rPr>
          <w:szCs w:val="28"/>
        </w:rPr>
        <w:t xml:space="preserve">опубликования.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82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/>
      <w:sz w:val="28"/>
      <w:szCs w:val="24"/>
      <w:lang w:val="ru-RU" w:eastAsia="ru-RU" w:bidi="ar-SA"/>
    </w:rPr>
  </w:style>
  <w:style w:type="paragraph" w:styleId="909">
    <w:name w:val="Заголовок 1"/>
    <w:basedOn w:val="908"/>
    <w:next w:val="908"/>
    <w:link w:val="92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10">
    <w:name w:val="Заголовок 2"/>
    <w:basedOn w:val="908"/>
    <w:next w:val="908"/>
    <w:link w:val="92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911">
    <w:name w:val="Заголовок 3"/>
    <w:basedOn w:val="908"/>
    <w:next w:val="908"/>
    <w:link w:val="926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912">
    <w:name w:val="Заголовок 4"/>
    <w:basedOn w:val="908"/>
    <w:next w:val="908"/>
    <w:link w:val="927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13">
    <w:name w:val="Заголовок 5"/>
    <w:basedOn w:val="908"/>
    <w:next w:val="908"/>
    <w:link w:val="928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4">
    <w:name w:val="Заголовок 6"/>
    <w:basedOn w:val="908"/>
    <w:next w:val="908"/>
    <w:link w:val="929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915">
    <w:name w:val="Заголовок 7"/>
    <w:basedOn w:val="908"/>
    <w:next w:val="908"/>
    <w:link w:val="930"/>
    <w:uiPriority w:val="9"/>
    <w:semiHidden/>
    <w:unhideWhenUsed/>
    <w:qFormat/>
    <w:pPr>
      <w:spacing w:before="240" w:after="60"/>
      <w:outlineLvl w:val="6"/>
    </w:pPr>
  </w:style>
  <w:style w:type="paragraph" w:styleId="916">
    <w:name w:val="Заголовок 8"/>
    <w:basedOn w:val="908"/>
    <w:next w:val="908"/>
    <w:link w:val="931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17">
    <w:name w:val="Заголовок 9"/>
    <w:basedOn w:val="908"/>
    <w:next w:val="908"/>
    <w:link w:val="932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918">
    <w:name w:val="Основной шрифт абзаца"/>
    <w:next w:val="918"/>
    <w:link w:val="908"/>
    <w:uiPriority w:val="1"/>
    <w:semiHidden/>
    <w:unhideWhenUsed/>
  </w:style>
  <w:style w:type="table" w:styleId="919">
    <w:name w:val="Обычная таблица"/>
    <w:next w:val="919"/>
    <w:link w:val="908"/>
    <w:uiPriority w:val="99"/>
    <w:semiHidden/>
    <w:unhideWhenUsed/>
    <w:tblPr/>
  </w:style>
  <w:style w:type="numbering" w:styleId="920">
    <w:name w:val="Нет списка"/>
    <w:next w:val="920"/>
    <w:link w:val="908"/>
    <w:uiPriority w:val="99"/>
    <w:semiHidden/>
    <w:unhideWhenUsed/>
  </w:style>
  <w:style w:type="paragraph" w:styleId="921">
    <w:name w:val="Текст выноски"/>
    <w:basedOn w:val="908"/>
    <w:next w:val="921"/>
    <w:link w:val="9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uiPriority w:val="99"/>
    <w:semiHidden/>
    <w:rPr>
      <w:rFonts w:ascii="Tahoma" w:hAnsi="Tahoma" w:cs="Tahoma"/>
      <w:sz w:val="16"/>
      <w:szCs w:val="16"/>
    </w:rPr>
  </w:style>
  <w:style w:type="paragraph" w:styleId="923">
    <w:name w:val="Без интервала"/>
    <w:basedOn w:val="908"/>
    <w:next w:val="923"/>
    <w:link w:val="908"/>
    <w:uiPriority w:val="1"/>
    <w:qFormat/>
    <w:rPr>
      <w:szCs w:val="32"/>
    </w:rPr>
  </w:style>
  <w:style w:type="character" w:styleId="924">
    <w:name w:val="Заголовок 1 Знак"/>
    <w:next w:val="924"/>
    <w:link w:val="909"/>
    <w:uiPriority w:val="9"/>
    <w:rPr>
      <w:rFonts w:ascii="Cambria" w:hAnsi="Cambria" w:eastAsia="Times New Roman"/>
      <w:b/>
      <w:bCs/>
      <w:sz w:val="32"/>
      <w:szCs w:val="32"/>
    </w:rPr>
  </w:style>
  <w:style w:type="character" w:styleId="925">
    <w:name w:val="Заголовок 2 Знак"/>
    <w:next w:val="925"/>
    <w:link w:val="910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926">
    <w:name w:val="Заголовок 3 Знак"/>
    <w:next w:val="926"/>
    <w:link w:val="911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927">
    <w:name w:val="Заголовок 4 Знак"/>
    <w:next w:val="927"/>
    <w:link w:val="912"/>
    <w:uiPriority w:val="9"/>
    <w:semiHidden/>
    <w:rPr>
      <w:b/>
      <w:bCs/>
      <w:sz w:val="28"/>
      <w:szCs w:val="28"/>
    </w:rPr>
  </w:style>
  <w:style w:type="character" w:styleId="928">
    <w:name w:val="Заголовок 5 Знак"/>
    <w:next w:val="928"/>
    <w:link w:val="913"/>
    <w:uiPriority w:val="9"/>
    <w:semiHidden/>
    <w:rPr>
      <w:b/>
      <w:bCs/>
      <w:i/>
      <w:iCs/>
      <w:sz w:val="26"/>
      <w:szCs w:val="26"/>
    </w:rPr>
  </w:style>
  <w:style w:type="character" w:styleId="929">
    <w:name w:val="Заголовок 6 Знак"/>
    <w:next w:val="929"/>
    <w:link w:val="914"/>
    <w:uiPriority w:val="9"/>
    <w:semiHidden/>
    <w:rPr>
      <w:b/>
      <w:bCs/>
    </w:rPr>
  </w:style>
  <w:style w:type="character" w:styleId="930">
    <w:name w:val="Заголовок 7 Знак"/>
    <w:next w:val="930"/>
    <w:link w:val="915"/>
    <w:uiPriority w:val="9"/>
    <w:semiHidden/>
    <w:rPr>
      <w:sz w:val="24"/>
      <w:szCs w:val="24"/>
    </w:rPr>
  </w:style>
  <w:style w:type="character" w:styleId="931">
    <w:name w:val="Заголовок 8 Знак"/>
    <w:next w:val="931"/>
    <w:link w:val="916"/>
    <w:uiPriority w:val="9"/>
    <w:semiHidden/>
    <w:rPr>
      <w:i/>
      <w:iCs/>
      <w:sz w:val="24"/>
      <w:szCs w:val="24"/>
    </w:rPr>
  </w:style>
  <w:style w:type="character" w:styleId="932">
    <w:name w:val="Заголовок 9 Знак"/>
    <w:next w:val="932"/>
    <w:link w:val="917"/>
    <w:uiPriority w:val="9"/>
    <w:semiHidden/>
    <w:rPr>
      <w:rFonts w:ascii="Cambria" w:hAnsi="Cambria" w:eastAsia="Times New Roman"/>
    </w:rPr>
  </w:style>
  <w:style w:type="paragraph" w:styleId="933">
    <w:name w:val="Название"/>
    <w:basedOn w:val="908"/>
    <w:next w:val="908"/>
    <w:link w:val="934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934">
    <w:name w:val="Название Знак"/>
    <w:next w:val="934"/>
    <w:link w:val="933"/>
    <w:uiPriority w:val="10"/>
    <w:rPr>
      <w:rFonts w:ascii="Cambria" w:hAnsi="Cambria" w:eastAsia="Times New Roman"/>
      <w:b/>
      <w:bCs/>
      <w:sz w:val="32"/>
      <w:szCs w:val="32"/>
    </w:rPr>
  </w:style>
  <w:style w:type="paragraph" w:styleId="935">
    <w:name w:val="Подзаголовок"/>
    <w:basedOn w:val="908"/>
    <w:next w:val="908"/>
    <w:link w:val="936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936">
    <w:name w:val="Подзаголовок Знак"/>
    <w:next w:val="936"/>
    <w:link w:val="935"/>
    <w:uiPriority w:val="11"/>
    <w:rPr>
      <w:rFonts w:ascii="Cambria" w:hAnsi="Cambria" w:eastAsia="Times New Roman"/>
      <w:sz w:val="24"/>
      <w:szCs w:val="24"/>
    </w:rPr>
  </w:style>
  <w:style w:type="character" w:styleId="937">
    <w:name w:val="Строгий"/>
    <w:next w:val="937"/>
    <w:link w:val="908"/>
    <w:uiPriority w:val="22"/>
    <w:qFormat/>
    <w:rPr>
      <w:b/>
      <w:bCs/>
    </w:rPr>
  </w:style>
  <w:style w:type="character" w:styleId="938">
    <w:name w:val="Выделение"/>
    <w:next w:val="938"/>
    <w:link w:val="908"/>
    <w:uiPriority w:val="20"/>
    <w:qFormat/>
    <w:rPr>
      <w:rFonts w:ascii="Calibri" w:hAnsi="Calibri"/>
      <w:b/>
      <w:i/>
      <w:iCs/>
    </w:rPr>
  </w:style>
  <w:style w:type="paragraph" w:styleId="939">
    <w:name w:val="Абзац списка"/>
    <w:basedOn w:val="908"/>
    <w:next w:val="939"/>
    <w:link w:val="908"/>
    <w:uiPriority w:val="34"/>
    <w:qFormat/>
    <w:pPr>
      <w:contextualSpacing/>
      <w:ind w:left="720"/>
    </w:pPr>
  </w:style>
  <w:style w:type="paragraph" w:styleId="940">
    <w:name w:val="Цитата 2"/>
    <w:basedOn w:val="908"/>
    <w:next w:val="908"/>
    <w:link w:val="941"/>
    <w:uiPriority w:val="29"/>
    <w:qFormat/>
    <w:rPr>
      <w:i/>
    </w:rPr>
  </w:style>
  <w:style w:type="character" w:styleId="941">
    <w:name w:val="Цитата 2 Знак"/>
    <w:next w:val="941"/>
    <w:link w:val="940"/>
    <w:uiPriority w:val="29"/>
    <w:rPr>
      <w:i/>
      <w:sz w:val="24"/>
      <w:szCs w:val="24"/>
    </w:rPr>
  </w:style>
  <w:style w:type="paragraph" w:styleId="942">
    <w:name w:val="Выделенная цитата"/>
    <w:basedOn w:val="908"/>
    <w:next w:val="908"/>
    <w:link w:val="943"/>
    <w:uiPriority w:val="30"/>
    <w:qFormat/>
    <w:pPr>
      <w:ind w:left="720" w:right="720"/>
    </w:pPr>
    <w:rPr>
      <w:b/>
      <w:i/>
      <w:szCs w:val="22"/>
    </w:rPr>
  </w:style>
  <w:style w:type="character" w:styleId="943">
    <w:name w:val="Выделенная цитата Знак"/>
    <w:next w:val="943"/>
    <w:link w:val="942"/>
    <w:uiPriority w:val="30"/>
    <w:rPr>
      <w:b/>
      <w:i/>
      <w:sz w:val="24"/>
    </w:rPr>
  </w:style>
  <w:style w:type="character" w:styleId="944">
    <w:name w:val="Слабое выделение"/>
    <w:next w:val="944"/>
    <w:link w:val="908"/>
    <w:uiPriority w:val="19"/>
    <w:qFormat/>
    <w:rPr>
      <w:i/>
      <w:color w:val="5a5a5a"/>
    </w:rPr>
  </w:style>
  <w:style w:type="character" w:styleId="945">
    <w:name w:val="Сильное выделение"/>
    <w:next w:val="945"/>
    <w:link w:val="908"/>
    <w:uiPriority w:val="21"/>
    <w:qFormat/>
    <w:rPr>
      <w:b/>
      <w:i/>
      <w:sz w:val="24"/>
      <w:szCs w:val="24"/>
      <w:u w:val="single"/>
    </w:rPr>
  </w:style>
  <w:style w:type="character" w:styleId="946">
    <w:name w:val="Слабая ссылка"/>
    <w:next w:val="946"/>
    <w:link w:val="908"/>
    <w:uiPriority w:val="31"/>
    <w:qFormat/>
    <w:rPr>
      <w:sz w:val="24"/>
      <w:szCs w:val="24"/>
      <w:u w:val="single"/>
    </w:rPr>
  </w:style>
  <w:style w:type="character" w:styleId="947">
    <w:name w:val="Сильная ссылка"/>
    <w:next w:val="947"/>
    <w:link w:val="908"/>
    <w:uiPriority w:val="32"/>
    <w:qFormat/>
    <w:rPr>
      <w:b/>
      <w:sz w:val="24"/>
      <w:u w:val="single"/>
    </w:rPr>
  </w:style>
  <w:style w:type="character" w:styleId="948">
    <w:name w:val="Название книги"/>
    <w:next w:val="948"/>
    <w:link w:val="908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949">
    <w:name w:val="Заголовок оглавления"/>
    <w:basedOn w:val="909"/>
    <w:next w:val="908"/>
    <w:link w:val="908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950">
    <w:name w:val="ConsPlusNormal"/>
    <w:next w:val="950"/>
    <w:link w:val="908"/>
    <w:pPr>
      <w:widowControl w:val="off"/>
    </w:pPr>
    <w:rPr>
      <w:rFonts w:cs="Calibri"/>
      <w:sz w:val="22"/>
      <w:lang w:val="ru-RU" w:eastAsia="ru-RU" w:bidi="ar-SA"/>
    </w:rPr>
  </w:style>
  <w:style w:type="paragraph" w:styleId="951">
    <w:name w:val="Верхний колонтитул"/>
    <w:basedOn w:val="908"/>
    <w:next w:val="951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2">
    <w:name w:val="Верхний колонтитул Знак"/>
    <w:next w:val="952"/>
    <w:link w:val="951"/>
    <w:uiPriority w:val="99"/>
    <w:rPr>
      <w:rFonts w:ascii="Times New Roman" w:hAnsi="Times New Roman"/>
      <w:sz w:val="28"/>
      <w:szCs w:val="24"/>
    </w:rPr>
  </w:style>
  <w:style w:type="paragraph" w:styleId="953">
    <w:name w:val="Нижний колонтитул"/>
    <w:basedOn w:val="908"/>
    <w:next w:val="953"/>
    <w:link w:val="9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4">
    <w:name w:val="Нижний колонтитул Знак"/>
    <w:next w:val="954"/>
    <w:link w:val="953"/>
    <w:uiPriority w:val="99"/>
    <w:rPr>
      <w:rFonts w:ascii="Times New Roman" w:hAnsi="Times New Roman"/>
      <w:sz w:val="28"/>
      <w:szCs w:val="24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11</cp:revision>
  <dcterms:created xsi:type="dcterms:W3CDTF">2020-11-04T23:39:00Z</dcterms:created>
  <dcterms:modified xsi:type="dcterms:W3CDTF">2024-01-31T02:28:18Z</dcterms:modified>
  <cp:version>983040</cp:version>
</cp:coreProperties>
</file>